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940"/>
      </w:tblGrid>
      <w:tr w:rsidR="00190A4A" w:rsidTr="005553DF">
        <w:trPr>
          <w:trHeight w:val="2276"/>
        </w:trPr>
        <w:tc>
          <w:tcPr>
            <w:tcW w:w="5778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</w:tcPr>
          <w:p w:rsidR="00190A4A" w:rsidRPr="009A7D65" w:rsidRDefault="00190A4A" w:rsidP="005553DF">
            <w:pPr>
              <w:pStyle w:val="Heading1"/>
              <w:jc w:val="left"/>
              <w:rPr>
                <w:sz w:val="28"/>
                <w:szCs w:val="28"/>
              </w:rPr>
            </w:pPr>
            <w:r w:rsidRPr="009A7D65">
              <w:rPr>
                <w:sz w:val="28"/>
                <w:szCs w:val="28"/>
              </w:rPr>
              <w:t>Public Health and Wellbeing</w:t>
            </w:r>
          </w:p>
          <w:p w:rsidR="00190A4A" w:rsidRPr="009A7D65" w:rsidRDefault="00190A4A" w:rsidP="005553DF">
            <w:pPr>
              <w:pStyle w:val="Heading1"/>
              <w:jc w:val="left"/>
              <w:rPr>
                <w:sz w:val="28"/>
                <w:szCs w:val="28"/>
              </w:rPr>
            </w:pPr>
          </w:p>
          <w:p w:rsidR="00190A4A" w:rsidRDefault="00190A4A" w:rsidP="005553DF">
            <w:pPr>
              <w:pStyle w:val="Heading1"/>
              <w:jc w:val="left"/>
              <w:rPr>
                <w:sz w:val="28"/>
                <w:szCs w:val="28"/>
              </w:rPr>
            </w:pPr>
            <w:r w:rsidRPr="009A7D65">
              <w:rPr>
                <w:sz w:val="28"/>
                <w:szCs w:val="28"/>
              </w:rPr>
              <w:t>Knowsley Archives Service: The ARK (Archive Resource for Knowsley)</w:t>
            </w:r>
          </w:p>
          <w:p w:rsidR="00190A4A" w:rsidRPr="009A7D65" w:rsidRDefault="00190A4A" w:rsidP="005553DF">
            <w:pPr>
              <w:pStyle w:val="Heading1"/>
              <w:jc w:val="left"/>
            </w:pPr>
            <w:r>
              <w:rPr>
                <w:sz w:val="28"/>
                <w:szCs w:val="28"/>
              </w:rPr>
              <w:t>Access Policy</w:t>
            </w:r>
          </w:p>
          <w:p w:rsidR="00190A4A" w:rsidRPr="009A7D65" w:rsidRDefault="00190A4A" w:rsidP="005553DF">
            <w:pPr>
              <w:jc w:val="both"/>
            </w:pPr>
          </w:p>
          <w:p w:rsidR="00190A4A" w:rsidRPr="009A7D65" w:rsidRDefault="00190A4A" w:rsidP="005553DF">
            <w:pPr>
              <w:pStyle w:val="Heading1"/>
              <w:jc w:val="left"/>
              <w:rPr>
                <w:color w:val="0000FF"/>
              </w:rPr>
            </w:pPr>
            <w:r w:rsidRPr="009A7D65">
              <w:t>May 2017</w:t>
            </w:r>
            <w:r w:rsidRPr="009A7D65">
              <w:tab/>
            </w:r>
            <w:r w:rsidRPr="009A7D65">
              <w:tab/>
            </w:r>
            <w:r w:rsidRPr="009A7D65">
              <w:tab/>
            </w:r>
            <w:r w:rsidRPr="009A7D65">
              <w:tab/>
            </w:r>
            <w:r w:rsidRPr="009A7D65">
              <w:tab/>
              <w:t xml:space="preserve"> </w:t>
            </w:r>
            <w:r w:rsidRPr="009A7D65">
              <w:tab/>
              <w:t xml:space="preserve">           Revision date: May 2019</w:t>
            </w:r>
          </w:p>
        </w:tc>
        <w:tc>
          <w:tcPr>
            <w:tcW w:w="3940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190A4A" w:rsidRPr="009A7D65" w:rsidRDefault="00190A4A" w:rsidP="005553DF">
            <w:pPr>
              <w:jc w:val="both"/>
              <w:rPr>
                <w:color w:val="0000FF"/>
              </w:rPr>
            </w:pPr>
          </w:p>
          <w:p w:rsidR="00190A4A" w:rsidRPr="009A7D65" w:rsidRDefault="00190A4A" w:rsidP="005553DF">
            <w:pPr>
              <w:jc w:val="both"/>
              <w:rPr>
                <w:color w:val="0000FF"/>
              </w:rPr>
            </w:pPr>
            <w:r>
              <w:rPr>
                <w:noProof/>
                <w:color w:val="0000FF"/>
                <w:lang w:val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115570</wp:posOffset>
                  </wp:positionV>
                  <wp:extent cx="2305050" cy="1066800"/>
                  <wp:effectExtent l="19050" t="0" r="0" b="0"/>
                  <wp:wrapTight wrapText="bothSides">
                    <wp:wrapPolygon edited="0">
                      <wp:start x="-179" y="0"/>
                      <wp:lineTo x="-179" y="21214"/>
                      <wp:lineTo x="21600" y="21214"/>
                      <wp:lineTo x="21600" y="0"/>
                      <wp:lineTo x="-179" y="0"/>
                    </wp:wrapPolygon>
                  </wp:wrapTight>
                  <wp:docPr id="2" name="Picture 1" descr="ark_logo_final_white_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k_logo_final_white_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969A1" w:rsidRDefault="003969A1" w:rsidP="003969A1">
      <w:pPr>
        <w:jc w:val="both"/>
      </w:pPr>
    </w:p>
    <w:p w:rsidR="00AE4CEA" w:rsidRPr="00AE4CEA" w:rsidRDefault="00AE4CEA" w:rsidP="00C170BF">
      <w:pPr>
        <w:rPr>
          <w:b/>
        </w:rPr>
      </w:pPr>
      <w:r>
        <w:rPr>
          <w:b/>
        </w:rPr>
        <w:t>1</w:t>
      </w:r>
      <w:r w:rsidR="004A2513">
        <w:rPr>
          <w:b/>
        </w:rPr>
        <w:t>.</w:t>
      </w:r>
      <w:r>
        <w:rPr>
          <w:b/>
        </w:rPr>
        <w:tab/>
        <w:t>Purpose of the Policy</w:t>
      </w:r>
    </w:p>
    <w:p w:rsidR="00C170BF" w:rsidRDefault="00C170BF" w:rsidP="00C170BF">
      <w:r>
        <w:t>1.1</w:t>
      </w:r>
      <w:r>
        <w:tab/>
        <w:t xml:space="preserve">This policy is one of a set of policies which provide a strategic framework for </w:t>
      </w:r>
      <w:r>
        <w:tab/>
        <w:t xml:space="preserve">Knowsley Archives, known as The ARK (Archive Resource for Knowsley). It </w:t>
      </w:r>
      <w:r>
        <w:tab/>
        <w:t xml:space="preserve">expands upon the Access statement made in the over-arching Knowsley </w:t>
      </w:r>
      <w:r>
        <w:tab/>
        <w:t xml:space="preserve">Archives Service: The ARK (Archive Resource for Knowsley) Archives Policy </w:t>
      </w:r>
      <w:r>
        <w:tab/>
        <w:t xml:space="preserve">(2014, revised and expanded 2017) and </w:t>
      </w:r>
      <w:r w:rsidR="005E7E90">
        <w:t xml:space="preserve">feeds into the Conservation, </w:t>
      </w:r>
      <w:r w:rsidR="005E7E90">
        <w:tab/>
        <w:t xml:space="preserve">Research Service, Remote Enquiry and </w:t>
      </w:r>
      <w:r>
        <w:tab/>
        <w:t xml:space="preserve">Collections Management policies. </w:t>
      </w:r>
    </w:p>
    <w:p w:rsidR="00C170BF" w:rsidRDefault="00C170BF" w:rsidP="00C170BF"/>
    <w:p w:rsidR="00C170BF" w:rsidRDefault="00C170BF" w:rsidP="00C170BF">
      <w:r>
        <w:t>1.2</w:t>
      </w:r>
      <w:r>
        <w:tab/>
        <w:t xml:space="preserve">The Access Policy sets out Knowsley Archives’ approach to the provision of </w:t>
      </w:r>
      <w:r>
        <w:tab/>
        <w:t>access to the archive collections, its education and outreach work and the</w:t>
      </w:r>
      <w:r w:rsidR="000325D8">
        <w:t xml:space="preserve"> </w:t>
      </w:r>
      <w:r w:rsidR="000325D8">
        <w:tab/>
        <w:t xml:space="preserve">provision of suitably qualified and experienced staff. </w:t>
      </w:r>
      <w:r>
        <w:t xml:space="preserve">The policy is underpinned </w:t>
      </w:r>
      <w:r w:rsidR="000325D8">
        <w:tab/>
      </w:r>
      <w:r>
        <w:t>by Archives for the 21</w:t>
      </w:r>
      <w:r>
        <w:rPr>
          <w:vertAlign w:val="superscript"/>
        </w:rPr>
        <w:t>st</w:t>
      </w:r>
      <w:r>
        <w:t xml:space="preserve"> Century, 2009, the</w:t>
      </w:r>
      <w:r w:rsidR="000325D8">
        <w:t xml:space="preserve"> </w:t>
      </w:r>
      <w:r>
        <w:t xml:space="preserve">Government’s policy document </w:t>
      </w:r>
      <w:r w:rsidR="000325D8">
        <w:tab/>
      </w:r>
      <w:r>
        <w:t>relating to archives, and the requirements of The National Archives</w:t>
      </w:r>
      <w:r w:rsidR="000325D8">
        <w:t xml:space="preserve"> </w:t>
      </w:r>
      <w:r w:rsidR="000325D8">
        <w:tab/>
      </w:r>
      <w:r>
        <w:t xml:space="preserve">Accreditation Standard, 2014. It also provides a guide to inform decision </w:t>
      </w:r>
      <w:r w:rsidR="000325D8">
        <w:tab/>
      </w:r>
      <w:r>
        <w:t xml:space="preserve">making and service delivery plans.  </w:t>
      </w:r>
    </w:p>
    <w:p w:rsidR="00B0634F" w:rsidRDefault="00B0634F"/>
    <w:p w:rsidR="000325D8" w:rsidRDefault="000325D8">
      <w:pPr>
        <w:rPr>
          <w:b/>
        </w:rPr>
      </w:pPr>
      <w:r>
        <w:rPr>
          <w:b/>
        </w:rPr>
        <w:t>2.</w:t>
      </w:r>
      <w:r>
        <w:rPr>
          <w:b/>
        </w:rPr>
        <w:tab/>
        <w:t xml:space="preserve">Accessing the </w:t>
      </w:r>
      <w:r w:rsidR="005F3E10">
        <w:rPr>
          <w:b/>
        </w:rPr>
        <w:t>Building</w:t>
      </w:r>
    </w:p>
    <w:p w:rsidR="000325D8" w:rsidRDefault="000325D8" w:rsidP="000325D8">
      <w:pPr>
        <w:rPr>
          <w:color w:val="000000"/>
        </w:rPr>
      </w:pPr>
      <w:r>
        <w:t>2.1</w:t>
      </w:r>
      <w:r>
        <w:rPr>
          <w:color w:val="000000"/>
        </w:rPr>
        <w:tab/>
        <w:t>The ARK repository is situated in Kirkby Library on the 1</w:t>
      </w:r>
      <w:r w:rsidRPr="00BF28DE">
        <w:rPr>
          <w:color w:val="000000"/>
          <w:vertAlign w:val="superscript"/>
        </w:rPr>
        <w:t>st</w:t>
      </w:r>
      <w:r>
        <w:rPr>
          <w:color w:val="000000"/>
        </w:rPr>
        <w:t xml:space="preserve"> floor of the Kirkby </w:t>
      </w:r>
      <w:r>
        <w:rPr>
          <w:color w:val="000000"/>
        </w:rPr>
        <w:tab/>
        <w:t xml:space="preserve">Centre and is accessible by stair and lift. The building </w:t>
      </w:r>
      <w:r w:rsidR="00E360B3">
        <w:rPr>
          <w:color w:val="000000"/>
        </w:rPr>
        <w:t>houses several co-</w:t>
      </w:r>
      <w:r w:rsidR="00E360B3">
        <w:rPr>
          <w:color w:val="000000"/>
        </w:rPr>
        <w:tab/>
        <w:t xml:space="preserve">located Council services and </w:t>
      </w:r>
      <w:r>
        <w:rPr>
          <w:color w:val="000000"/>
        </w:rPr>
        <w:t>benefits from 24 hour</w:t>
      </w:r>
      <w:r w:rsidR="00E360B3">
        <w:rPr>
          <w:color w:val="000000"/>
        </w:rPr>
        <w:t xml:space="preserve"> </w:t>
      </w:r>
      <w:r>
        <w:rPr>
          <w:color w:val="000000"/>
        </w:rPr>
        <w:t xml:space="preserve">security and fire </w:t>
      </w:r>
      <w:r w:rsidR="00E360B3">
        <w:rPr>
          <w:color w:val="000000"/>
        </w:rPr>
        <w:tab/>
      </w:r>
      <w:r>
        <w:rPr>
          <w:color w:val="000000"/>
        </w:rPr>
        <w:t xml:space="preserve">monitoring </w:t>
      </w:r>
      <w:r w:rsidR="0091266D">
        <w:rPr>
          <w:color w:val="000000"/>
        </w:rPr>
        <w:t>system</w:t>
      </w:r>
      <w:r w:rsidR="00957F41">
        <w:rPr>
          <w:color w:val="000000"/>
        </w:rPr>
        <w:t>s</w:t>
      </w:r>
      <w:r w:rsidR="0091266D">
        <w:rPr>
          <w:color w:val="000000"/>
        </w:rPr>
        <w:t xml:space="preserve"> </w:t>
      </w:r>
      <w:r>
        <w:rPr>
          <w:color w:val="000000"/>
        </w:rPr>
        <w:t xml:space="preserve">and is a safe and welcoming place to visit. It is </w:t>
      </w:r>
      <w:r w:rsidR="0091266D">
        <w:rPr>
          <w:color w:val="000000"/>
        </w:rPr>
        <w:tab/>
      </w:r>
      <w:r>
        <w:rPr>
          <w:color w:val="000000"/>
        </w:rPr>
        <w:t>conveniently placed adjacent to the main bus station in Kirkby and is near the</w:t>
      </w:r>
      <w:r w:rsidR="00E360B3">
        <w:rPr>
          <w:color w:val="000000"/>
        </w:rPr>
        <w:t xml:space="preserve"> </w:t>
      </w:r>
      <w:r w:rsidR="0091266D">
        <w:rPr>
          <w:color w:val="000000"/>
        </w:rPr>
        <w:tab/>
      </w:r>
      <w:r>
        <w:rPr>
          <w:color w:val="000000"/>
        </w:rPr>
        <w:t>local rail station</w:t>
      </w:r>
      <w:r w:rsidR="009B0253">
        <w:rPr>
          <w:color w:val="000000"/>
        </w:rPr>
        <w:t xml:space="preserve"> and local taxi ranks</w:t>
      </w:r>
      <w:r>
        <w:rPr>
          <w:color w:val="000000"/>
        </w:rPr>
        <w:t xml:space="preserve">. There is a short stay car park next to the </w:t>
      </w:r>
      <w:r w:rsidR="0091266D">
        <w:rPr>
          <w:color w:val="000000"/>
        </w:rPr>
        <w:tab/>
      </w:r>
      <w:r w:rsidR="004A2513">
        <w:rPr>
          <w:color w:val="000000"/>
        </w:rPr>
        <w:t xml:space="preserve">Centre and various </w:t>
      </w:r>
      <w:r>
        <w:rPr>
          <w:color w:val="000000"/>
        </w:rPr>
        <w:t>long stay parking options in the town centre.</w:t>
      </w:r>
    </w:p>
    <w:p w:rsidR="000325D8" w:rsidRDefault="000325D8" w:rsidP="000325D8">
      <w:pPr>
        <w:rPr>
          <w:color w:val="000000"/>
        </w:rPr>
      </w:pPr>
      <w:r>
        <w:rPr>
          <w:color w:val="000000"/>
        </w:rPr>
        <w:t xml:space="preserve"> </w:t>
      </w:r>
    </w:p>
    <w:p w:rsidR="000325D8" w:rsidRDefault="000325D8" w:rsidP="000325D8">
      <w:pPr>
        <w:rPr>
          <w:color w:val="000000"/>
        </w:rPr>
      </w:pPr>
      <w:r>
        <w:t>2.2</w:t>
      </w:r>
      <w:r>
        <w:tab/>
      </w:r>
      <w:r w:rsidR="00F936A6">
        <w:t>A</w:t>
      </w:r>
      <w:r>
        <w:rPr>
          <w:color w:val="000000"/>
        </w:rPr>
        <w:t xml:space="preserve">ccess to the collections </w:t>
      </w:r>
      <w:r w:rsidR="00F936A6">
        <w:rPr>
          <w:color w:val="000000"/>
        </w:rPr>
        <w:t xml:space="preserve">will be provided </w:t>
      </w:r>
      <w:r>
        <w:rPr>
          <w:color w:val="000000"/>
        </w:rPr>
        <w:t xml:space="preserve">during Library opening hours and by </w:t>
      </w:r>
      <w:r>
        <w:rPr>
          <w:color w:val="000000"/>
        </w:rPr>
        <w:tab/>
        <w:t xml:space="preserve">appointment when the Library is closed, during </w:t>
      </w:r>
      <w:r w:rsidR="00F936A6">
        <w:rPr>
          <w:color w:val="000000"/>
        </w:rPr>
        <w:t xml:space="preserve">the ARK’s </w:t>
      </w:r>
      <w:r>
        <w:rPr>
          <w:color w:val="000000"/>
        </w:rPr>
        <w:t xml:space="preserve">normal operating </w:t>
      </w:r>
      <w:r w:rsidR="00F936A6">
        <w:rPr>
          <w:color w:val="000000"/>
        </w:rPr>
        <w:tab/>
      </w:r>
      <w:r>
        <w:rPr>
          <w:color w:val="000000"/>
        </w:rPr>
        <w:t>hours as</w:t>
      </w:r>
      <w:r w:rsidR="00F936A6">
        <w:rPr>
          <w:color w:val="000000"/>
        </w:rPr>
        <w:t xml:space="preserve"> </w:t>
      </w:r>
      <w:r>
        <w:rPr>
          <w:color w:val="000000"/>
        </w:rPr>
        <w:t xml:space="preserve">advertised in our leaflets, social media platforms and web pages. </w:t>
      </w:r>
    </w:p>
    <w:p w:rsidR="009B0253" w:rsidRDefault="009B0253" w:rsidP="000325D8">
      <w:pPr>
        <w:rPr>
          <w:color w:val="000000"/>
        </w:rPr>
      </w:pPr>
    </w:p>
    <w:p w:rsidR="009B0253" w:rsidRDefault="009B0253" w:rsidP="009B0253">
      <w:pPr>
        <w:rPr>
          <w:color w:val="000000"/>
        </w:rPr>
      </w:pPr>
      <w:r>
        <w:rPr>
          <w:color w:val="000000"/>
        </w:rPr>
        <w:t>2.3</w:t>
      </w:r>
      <w:r>
        <w:rPr>
          <w:color w:val="000000"/>
        </w:rPr>
        <w:tab/>
      </w:r>
      <w:r>
        <w:t>I</w:t>
      </w:r>
      <w:r w:rsidRPr="002945FB">
        <w:t xml:space="preserve">nformation about archive services, including operating </w:t>
      </w:r>
      <w:r>
        <w:rPr>
          <w:color w:val="000000"/>
        </w:rPr>
        <w:t xml:space="preserve">hours and search </w:t>
      </w:r>
      <w:r>
        <w:rPr>
          <w:color w:val="000000"/>
        </w:rPr>
        <w:tab/>
        <w:t xml:space="preserve">room procedures, will be disseminated through a variety of means, including </w:t>
      </w:r>
      <w:r>
        <w:rPr>
          <w:color w:val="000000"/>
        </w:rPr>
        <w:tab/>
        <w:t xml:space="preserve">social media platforms, the ARK web pages, leaflets, guides and posters and </w:t>
      </w:r>
      <w:r>
        <w:rPr>
          <w:color w:val="000000"/>
        </w:rPr>
        <w:tab/>
        <w:t xml:space="preserve">through community engagement. </w:t>
      </w:r>
    </w:p>
    <w:p w:rsidR="005F3E10" w:rsidRDefault="005F3E10" w:rsidP="009B0253">
      <w:pPr>
        <w:rPr>
          <w:color w:val="000000"/>
        </w:rPr>
      </w:pPr>
    </w:p>
    <w:p w:rsidR="009B0253" w:rsidRDefault="005F3E10" w:rsidP="009B0253">
      <w:pPr>
        <w:rPr>
          <w:color w:val="000000"/>
        </w:rPr>
      </w:pPr>
      <w:r>
        <w:rPr>
          <w:color w:val="000000"/>
        </w:rPr>
        <w:t>2.4</w:t>
      </w:r>
      <w:r>
        <w:rPr>
          <w:color w:val="000000"/>
        </w:rPr>
        <w:tab/>
        <w:t xml:space="preserve">As detailed in </w:t>
      </w:r>
      <w:r w:rsidR="00F936A6">
        <w:rPr>
          <w:color w:val="000000"/>
        </w:rPr>
        <w:t xml:space="preserve">the </w:t>
      </w:r>
      <w:r>
        <w:rPr>
          <w:color w:val="000000"/>
        </w:rPr>
        <w:t>Archive Services User Guide,</w:t>
      </w:r>
      <w:r w:rsidR="00222BC5">
        <w:rPr>
          <w:color w:val="000000"/>
        </w:rPr>
        <w:t xml:space="preserve"> </w:t>
      </w:r>
      <w:r>
        <w:rPr>
          <w:color w:val="000000"/>
        </w:rPr>
        <w:t>secure storage lockers</w:t>
      </w:r>
      <w:r w:rsidR="0091266D">
        <w:rPr>
          <w:color w:val="000000"/>
        </w:rPr>
        <w:t xml:space="preserve"> </w:t>
      </w:r>
      <w:r w:rsidR="00F936A6">
        <w:rPr>
          <w:color w:val="000000"/>
        </w:rPr>
        <w:t xml:space="preserve">will be </w:t>
      </w:r>
      <w:r w:rsidR="0091266D">
        <w:rPr>
          <w:color w:val="000000"/>
        </w:rPr>
        <w:tab/>
      </w:r>
      <w:r w:rsidR="00F936A6">
        <w:rPr>
          <w:color w:val="000000"/>
        </w:rPr>
        <w:t xml:space="preserve">available </w:t>
      </w:r>
      <w:r>
        <w:rPr>
          <w:color w:val="000000"/>
        </w:rPr>
        <w:t xml:space="preserve">for researchers to stow their personal belongings in whilst </w:t>
      </w:r>
      <w:r w:rsidR="00F936A6">
        <w:rPr>
          <w:color w:val="000000"/>
        </w:rPr>
        <w:tab/>
      </w:r>
      <w:r>
        <w:rPr>
          <w:color w:val="000000"/>
        </w:rPr>
        <w:t xml:space="preserve">they are </w:t>
      </w:r>
      <w:r w:rsidR="0091266D">
        <w:rPr>
          <w:color w:val="000000"/>
        </w:rPr>
        <w:tab/>
      </w:r>
      <w:r>
        <w:rPr>
          <w:color w:val="000000"/>
        </w:rPr>
        <w:t>visiting the ARK.  The Guid</w:t>
      </w:r>
      <w:r w:rsidR="00F936A6">
        <w:rPr>
          <w:color w:val="000000"/>
        </w:rPr>
        <w:t>e includes information about ARK</w:t>
      </w:r>
      <w:r w:rsidR="0091266D">
        <w:rPr>
          <w:color w:val="000000"/>
        </w:rPr>
        <w:t xml:space="preserve"> </w:t>
      </w:r>
      <w:r>
        <w:rPr>
          <w:color w:val="000000"/>
        </w:rPr>
        <w:t>services, details</w:t>
      </w:r>
      <w:r w:rsidR="00F936A6">
        <w:rPr>
          <w:color w:val="000000"/>
        </w:rPr>
        <w:t xml:space="preserve"> </w:t>
      </w:r>
      <w:r w:rsidR="0091266D">
        <w:rPr>
          <w:color w:val="000000"/>
        </w:rPr>
        <w:tab/>
      </w:r>
      <w:r w:rsidR="00F936A6">
        <w:rPr>
          <w:color w:val="000000"/>
        </w:rPr>
        <w:t>of the</w:t>
      </w:r>
      <w:r>
        <w:rPr>
          <w:color w:val="000000"/>
        </w:rPr>
        <w:t xml:space="preserve"> opening times and search room usage information.</w:t>
      </w:r>
    </w:p>
    <w:p w:rsidR="000C00C0" w:rsidRDefault="000C00C0" w:rsidP="009B0253">
      <w:pPr>
        <w:rPr>
          <w:color w:val="000000"/>
        </w:rPr>
      </w:pPr>
    </w:p>
    <w:p w:rsidR="00222BC5" w:rsidRDefault="00222BC5" w:rsidP="000325D8">
      <w:pPr>
        <w:rPr>
          <w:b/>
          <w:color w:val="000000"/>
        </w:rPr>
      </w:pPr>
    </w:p>
    <w:p w:rsidR="00222BC5" w:rsidRDefault="00222BC5" w:rsidP="000325D8">
      <w:pPr>
        <w:rPr>
          <w:b/>
          <w:color w:val="000000"/>
        </w:rPr>
      </w:pPr>
    </w:p>
    <w:p w:rsidR="005F3E10" w:rsidRDefault="005F3E10" w:rsidP="000325D8">
      <w:pPr>
        <w:rPr>
          <w:b/>
          <w:color w:val="000000"/>
        </w:rPr>
      </w:pPr>
      <w:r w:rsidRPr="005F3E10">
        <w:rPr>
          <w:b/>
          <w:color w:val="000000"/>
        </w:rPr>
        <w:t>3.</w:t>
      </w:r>
      <w:r w:rsidRPr="005F3E10">
        <w:rPr>
          <w:b/>
          <w:color w:val="000000"/>
        </w:rPr>
        <w:tab/>
      </w:r>
      <w:r w:rsidR="000C00C0">
        <w:rPr>
          <w:b/>
          <w:color w:val="000000"/>
        </w:rPr>
        <w:t>Access to the Collections</w:t>
      </w:r>
    </w:p>
    <w:p w:rsidR="000C00C0" w:rsidRDefault="000C00C0" w:rsidP="000C00C0">
      <w:pPr>
        <w:rPr>
          <w:color w:val="000000"/>
        </w:rPr>
      </w:pPr>
      <w:r w:rsidRPr="000C00C0">
        <w:rPr>
          <w:color w:val="000000"/>
        </w:rPr>
        <w:t>3.1</w:t>
      </w:r>
      <w:r w:rsidR="0091266D">
        <w:rPr>
          <w:color w:val="000000"/>
        </w:rPr>
        <w:tab/>
        <w:t xml:space="preserve">ARK staff </w:t>
      </w:r>
      <w:r>
        <w:rPr>
          <w:color w:val="000000"/>
        </w:rPr>
        <w:t>will manage the use of the collections</w:t>
      </w:r>
      <w:r w:rsidR="0091266D">
        <w:rPr>
          <w:color w:val="000000"/>
        </w:rPr>
        <w:t>. R</w:t>
      </w:r>
      <w:r>
        <w:rPr>
          <w:color w:val="000000"/>
        </w:rPr>
        <w:t xml:space="preserve">esearchers </w:t>
      </w:r>
      <w:r w:rsidR="0091266D">
        <w:rPr>
          <w:color w:val="000000"/>
        </w:rPr>
        <w:t xml:space="preserve">are asked </w:t>
      </w:r>
      <w:r>
        <w:rPr>
          <w:color w:val="000000"/>
        </w:rPr>
        <w:t xml:space="preserve">to </w:t>
      </w:r>
      <w:r w:rsidR="0091266D">
        <w:rPr>
          <w:color w:val="000000"/>
        </w:rPr>
        <w:tab/>
      </w:r>
      <w:r>
        <w:rPr>
          <w:color w:val="000000"/>
        </w:rPr>
        <w:t xml:space="preserve">sign in </w:t>
      </w:r>
      <w:r w:rsidR="0091266D">
        <w:rPr>
          <w:color w:val="000000"/>
        </w:rPr>
        <w:t>using an ARK</w:t>
      </w:r>
      <w:r>
        <w:rPr>
          <w:color w:val="000000"/>
        </w:rPr>
        <w:t xml:space="preserve"> Visitor Record form and to provide a</w:t>
      </w:r>
      <w:r w:rsidR="0091266D">
        <w:rPr>
          <w:color w:val="000000"/>
        </w:rPr>
        <w:t xml:space="preserve">n item </w:t>
      </w:r>
      <w:r>
        <w:rPr>
          <w:color w:val="000000"/>
        </w:rPr>
        <w:t xml:space="preserve">of </w:t>
      </w:r>
      <w:r w:rsidR="00AF638B">
        <w:rPr>
          <w:color w:val="000000"/>
        </w:rPr>
        <w:tab/>
      </w:r>
      <w:r>
        <w:rPr>
          <w:color w:val="000000"/>
        </w:rPr>
        <w:t>identification.</w:t>
      </w:r>
      <w:r w:rsidR="00AF638B">
        <w:rPr>
          <w:color w:val="000000"/>
        </w:rPr>
        <w:t xml:space="preserve"> </w:t>
      </w:r>
      <w:r>
        <w:rPr>
          <w:color w:val="000000"/>
        </w:rPr>
        <w:t>Items can then be ordered using an Arch</w:t>
      </w:r>
      <w:r w:rsidR="00AF638B">
        <w:rPr>
          <w:color w:val="000000"/>
        </w:rPr>
        <w:t xml:space="preserve">ive Request slip and </w:t>
      </w:r>
      <w:r w:rsidR="00AF638B">
        <w:rPr>
          <w:color w:val="000000"/>
        </w:rPr>
        <w:tab/>
        <w:t xml:space="preserve">the items </w:t>
      </w:r>
      <w:r>
        <w:rPr>
          <w:color w:val="000000"/>
        </w:rPr>
        <w:t xml:space="preserve">requested will be delivered to the counter. No more than 3 items per </w:t>
      </w:r>
      <w:r w:rsidR="00AF638B">
        <w:rPr>
          <w:color w:val="000000"/>
        </w:rPr>
        <w:tab/>
      </w:r>
      <w:r>
        <w:rPr>
          <w:color w:val="000000"/>
        </w:rPr>
        <w:t xml:space="preserve">customer will be issued at any one time.   </w:t>
      </w:r>
    </w:p>
    <w:p w:rsidR="00911E8A" w:rsidRDefault="00911E8A" w:rsidP="000C00C0">
      <w:pPr>
        <w:rPr>
          <w:color w:val="000000"/>
        </w:rPr>
      </w:pPr>
    </w:p>
    <w:p w:rsidR="000C00C0" w:rsidRDefault="00911E8A" w:rsidP="000C00C0">
      <w:pPr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ab/>
      </w:r>
      <w:r w:rsidR="00AF638B">
        <w:rPr>
          <w:color w:val="000000"/>
        </w:rPr>
        <w:t>G</w:t>
      </w:r>
      <w:r>
        <w:rPr>
          <w:color w:val="000000"/>
        </w:rPr>
        <w:t>uidance and information on how to access the collections</w:t>
      </w:r>
      <w:r w:rsidR="00AF638B">
        <w:rPr>
          <w:color w:val="000000"/>
        </w:rPr>
        <w:t xml:space="preserve"> will be offered </w:t>
      </w:r>
      <w:r w:rsidR="00AF638B">
        <w:rPr>
          <w:color w:val="000000"/>
        </w:rPr>
        <w:tab/>
        <w:t xml:space="preserve">through </w:t>
      </w:r>
      <w:r>
        <w:rPr>
          <w:color w:val="000000"/>
        </w:rPr>
        <w:t>leaflets and web pages</w:t>
      </w:r>
      <w:r w:rsidR="00AF638B">
        <w:rPr>
          <w:color w:val="000000"/>
        </w:rPr>
        <w:t>. S</w:t>
      </w:r>
      <w:r w:rsidR="00D50CCB">
        <w:rPr>
          <w:color w:val="000000"/>
        </w:rPr>
        <w:t>earch room visitors can exp</w:t>
      </w:r>
      <w:r>
        <w:rPr>
          <w:color w:val="000000"/>
        </w:rPr>
        <w:t xml:space="preserve">ect to be </w:t>
      </w:r>
      <w:r w:rsidR="00D50CCB">
        <w:rPr>
          <w:color w:val="000000"/>
        </w:rPr>
        <w:tab/>
      </w:r>
      <w:r>
        <w:rPr>
          <w:color w:val="000000"/>
        </w:rPr>
        <w:t>supported by experienced and knowledg</w:t>
      </w:r>
      <w:r w:rsidR="00D50CCB">
        <w:rPr>
          <w:color w:val="000000"/>
        </w:rPr>
        <w:t>e</w:t>
      </w:r>
      <w:r w:rsidR="005063A2">
        <w:rPr>
          <w:color w:val="000000"/>
        </w:rPr>
        <w:t>able staff.</w:t>
      </w:r>
    </w:p>
    <w:p w:rsidR="00911E8A" w:rsidRDefault="00911E8A" w:rsidP="000C00C0">
      <w:pPr>
        <w:rPr>
          <w:color w:val="000000"/>
        </w:rPr>
      </w:pPr>
    </w:p>
    <w:p w:rsidR="00CB33BD" w:rsidRDefault="000C00C0" w:rsidP="000C00C0">
      <w:r>
        <w:rPr>
          <w:color w:val="000000"/>
        </w:rPr>
        <w:t>3.2</w:t>
      </w:r>
      <w:r>
        <w:rPr>
          <w:color w:val="000000"/>
        </w:rPr>
        <w:tab/>
      </w:r>
      <w:r w:rsidR="00AF638B">
        <w:t>The ARK is</w:t>
      </w:r>
      <w:r w:rsidR="00883A8F">
        <w:t xml:space="preserve"> committed to creating </w:t>
      </w:r>
      <w:r w:rsidR="00883A8F" w:rsidRPr="00CE75CB">
        <w:t xml:space="preserve">effective finding aids so that researchers </w:t>
      </w:r>
      <w:r w:rsidR="00AF638B">
        <w:tab/>
      </w:r>
      <w:r w:rsidR="00883A8F" w:rsidRPr="00CE75CB">
        <w:t>can access materials</w:t>
      </w:r>
      <w:r w:rsidR="00AF638B">
        <w:t xml:space="preserve">. The Service is </w:t>
      </w:r>
      <w:r w:rsidR="00883A8F">
        <w:t xml:space="preserve">engaged in </w:t>
      </w:r>
      <w:r w:rsidR="00883A8F" w:rsidRPr="00CE75CB">
        <w:t xml:space="preserve">creating an online catalogue </w:t>
      </w:r>
      <w:r w:rsidR="00AF638B">
        <w:tab/>
      </w:r>
      <w:r w:rsidR="00883A8F" w:rsidRPr="00CE75CB">
        <w:t xml:space="preserve">using </w:t>
      </w:r>
      <w:r w:rsidR="005E7E90">
        <w:tab/>
      </w:r>
      <w:r w:rsidR="00883A8F" w:rsidRPr="00CE75CB">
        <w:t xml:space="preserve">Axiell </w:t>
      </w:r>
      <w:r w:rsidR="00883A8F">
        <w:tab/>
      </w:r>
      <w:r w:rsidR="00883A8F" w:rsidRPr="00CE75CB">
        <w:t>Calm</w:t>
      </w:r>
      <w:r w:rsidR="00883A8F">
        <w:t xml:space="preserve">, which will utilise the Calmview public interface. </w:t>
      </w:r>
      <w:r w:rsidR="00AF638B">
        <w:t>L</w:t>
      </w:r>
      <w:r w:rsidR="00883A8F">
        <w:t xml:space="preserve">istings </w:t>
      </w:r>
      <w:r w:rsidR="00AF638B">
        <w:tab/>
      </w:r>
      <w:r w:rsidR="00883A8F">
        <w:t xml:space="preserve">and indices </w:t>
      </w:r>
      <w:r w:rsidR="00AF638B">
        <w:t xml:space="preserve">will be made </w:t>
      </w:r>
      <w:r w:rsidR="00883A8F">
        <w:t xml:space="preserve">available to researches both in house and online. </w:t>
      </w:r>
    </w:p>
    <w:p w:rsidR="005063A2" w:rsidRDefault="005063A2" w:rsidP="000C00C0"/>
    <w:p w:rsidR="00883A8F" w:rsidRDefault="00CB33BD" w:rsidP="000C00C0">
      <w:r>
        <w:t>3.3</w:t>
      </w:r>
      <w:r>
        <w:tab/>
      </w:r>
      <w:r w:rsidR="00AF638B">
        <w:t>The</w:t>
      </w:r>
      <w:r>
        <w:t xml:space="preserve"> </w:t>
      </w:r>
      <w:r w:rsidR="00883A8F">
        <w:t xml:space="preserve">finding aids and the metadata created to describe digital assets will </w:t>
      </w:r>
      <w:r>
        <w:tab/>
      </w:r>
      <w:r w:rsidR="00883A8F">
        <w:t>comply</w:t>
      </w:r>
      <w:r>
        <w:t xml:space="preserve"> </w:t>
      </w:r>
      <w:r w:rsidR="00883A8F">
        <w:t xml:space="preserve">with </w:t>
      </w:r>
      <w:proofErr w:type="gramStart"/>
      <w:r w:rsidR="00883A8F">
        <w:t>ISAD(</w:t>
      </w:r>
      <w:proofErr w:type="gramEnd"/>
      <w:r w:rsidR="00883A8F">
        <w:t>g) to ensure accuracy, consistency and relevance.</w:t>
      </w:r>
    </w:p>
    <w:p w:rsidR="00883A8F" w:rsidRDefault="00883A8F" w:rsidP="000C00C0"/>
    <w:p w:rsidR="00883A8F" w:rsidRDefault="00883A8F" w:rsidP="000C00C0">
      <w:pPr>
        <w:rPr>
          <w:color w:val="000000"/>
        </w:rPr>
      </w:pPr>
      <w:r>
        <w:rPr>
          <w:color w:val="000000"/>
        </w:rPr>
        <w:t>3.</w:t>
      </w:r>
      <w:r w:rsidR="00CB33BD">
        <w:rPr>
          <w:color w:val="000000"/>
        </w:rPr>
        <w:t>4</w:t>
      </w:r>
      <w:r>
        <w:rPr>
          <w:color w:val="000000"/>
        </w:rPr>
        <w:tab/>
      </w:r>
      <w:r w:rsidR="000C00C0">
        <w:rPr>
          <w:color w:val="000000"/>
        </w:rPr>
        <w:t xml:space="preserve">In order to ensure the best possible care of the collections, </w:t>
      </w:r>
      <w:r w:rsidR="00AF638B">
        <w:rPr>
          <w:color w:val="000000"/>
        </w:rPr>
        <w:t>The ARK</w:t>
      </w:r>
      <w:r w:rsidR="000C00C0">
        <w:rPr>
          <w:color w:val="000000"/>
        </w:rPr>
        <w:t xml:space="preserve"> reserve</w:t>
      </w:r>
      <w:r w:rsidR="00AF638B">
        <w:rPr>
          <w:color w:val="000000"/>
        </w:rPr>
        <w:t>s</w:t>
      </w:r>
      <w:r w:rsidR="000C00C0">
        <w:rPr>
          <w:color w:val="000000"/>
        </w:rPr>
        <w:t xml:space="preserve"> </w:t>
      </w:r>
      <w:r w:rsidR="00AF638B">
        <w:rPr>
          <w:color w:val="000000"/>
        </w:rPr>
        <w:tab/>
      </w:r>
      <w:r w:rsidR="000C00C0">
        <w:rPr>
          <w:color w:val="000000"/>
        </w:rPr>
        <w:t>the right to restrict public access to items which are very fragile.</w:t>
      </w:r>
      <w:r w:rsidR="00CF2C1C">
        <w:rPr>
          <w:color w:val="000000"/>
        </w:rPr>
        <w:t xml:space="preserve"> </w:t>
      </w:r>
    </w:p>
    <w:p w:rsidR="00883A8F" w:rsidRDefault="00883A8F" w:rsidP="000C00C0">
      <w:pPr>
        <w:rPr>
          <w:color w:val="000000"/>
        </w:rPr>
      </w:pPr>
    </w:p>
    <w:p w:rsidR="000C00C0" w:rsidRDefault="00CB33BD" w:rsidP="003E1880">
      <w:pPr>
        <w:rPr>
          <w:color w:val="000000"/>
        </w:rPr>
      </w:pPr>
      <w:r>
        <w:rPr>
          <w:color w:val="000000"/>
        </w:rPr>
        <w:t>3.5</w:t>
      </w:r>
      <w:r w:rsidR="00883A8F">
        <w:rPr>
          <w:color w:val="000000"/>
        </w:rPr>
        <w:tab/>
      </w:r>
      <w:r w:rsidR="00CF2C1C">
        <w:rPr>
          <w:color w:val="000000"/>
        </w:rPr>
        <w:t>Access to items</w:t>
      </w:r>
      <w:r w:rsidR="00883A8F">
        <w:rPr>
          <w:color w:val="000000"/>
        </w:rPr>
        <w:t xml:space="preserve"> </w:t>
      </w:r>
      <w:r w:rsidR="00CF2C1C">
        <w:rPr>
          <w:color w:val="000000"/>
        </w:rPr>
        <w:t xml:space="preserve">in the collections which contain personal or confidential </w:t>
      </w:r>
      <w:r w:rsidR="00883A8F">
        <w:rPr>
          <w:color w:val="000000"/>
        </w:rPr>
        <w:tab/>
      </w:r>
      <w:r w:rsidR="00CF2C1C">
        <w:rPr>
          <w:color w:val="000000"/>
        </w:rPr>
        <w:t xml:space="preserve">information may be restricted under the </w:t>
      </w:r>
      <w:r w:rsidR="00883A8F">
        <w:rPr>
          <w:color w:val="000000"/>
        </w:rPr>
        <w:t xml:space="preserve">Data Protection Act. Subject access </w:t>
      </w:r>
      <w:r w:rsidR="00883A8F">
        <w:rPr>
          <w:color w:val="000000"/>
        </w:rPr>
        <w:tab/>
        <w:t xml:space="preserve">requests under the Data Protection Act and enquiries under the Freedom of </w:t>
      </w:r>
      <w:r w:rsidR="00883A8F">
        <w:rPr>
          <w:color w:val="000000"/>
        </w:rPr>
        <w:tab/>
        <w:t>Information Act will be dealt with in line with current legislation and Knowsle</w:t>
      </w:r>
      <w:r w:rsidR="005C39C4">
        <w:rPr>
          <w:color w:val="000000"/>
        </w:rPr>
        <w:t xml:space="preserve">y </w:t>
      </w:r>
      <w:r w:rsidR="005C39C4">
        <w:rPr>
          <w:color w:val="000000"/>
        </w:rPr>
        <w:tab/>
        <w:t>MBC procedures.</w:t>
      </w:r>
    </w:p>
    <w:p w:rsidR="005C39C4" w:rsidRDefault="005C39C4" w:rsidP="003E1880">
      <w:pPr>
        <w:rPr>
          <w:color w:val="000000"/>
        </w:rPr>
      </w:pPr>
    </w:p>
    <w:p w:rsidR="005C39C4" w:rsidRDefault="005C39C4" w:rsidP="005C39C4">
      <w:r>
        <w:rPr>
          <w:color w:val="000000"/>
        </w:rPr>
        <w:t>3.6</w:t>
      </w:r>
      <w:r>
        <w:rPr>
          <w:color w:val="000000"/>
        </w:rPr>
        <w:tab/>
      </w:r>
      <w:r w:rsidR="00AF638B">
        <w:rPr>
          <w:color w:val="000000"/>
        </w:rPr>
        <w:t>I</w:t>
      </w:r>
      <w:r w:rsidRPr="00CE75CB">
        <w:t xml:space="preserve">tems </w:t>
      </w:r>
      <w:r w:rsidR="00AF638B">
        <w:t xml:space="preserve">will be made </w:t>
      </w:r>
      <w:r w:rsidRPr="00CE75CB">
        <w:t xml:space="preserve">available online </w:t>
      </w:r>
      <w:r>
        <w:t xml:space="preserve">to remote researchers </w:t>
      </w:r>
      <w:r w:rsidRPr="00CE75CB">
        <w:t xml:space="preserve">through a </w:t>
      </w:r>
      <w:r w:rsidR="005063A2">
        <w:t xml:space="preserve">selective </w:t>
      </w:r>
      <w:r w:rsidR="005063A2">
        <w:tab/>
        <w:t>digitis</w:t>
      </w:r>
      <w:r>
        <w:t>ati</w:t>
      </w:r>
      <w:r w:rsidR="00AF638B">
        <w:t>on programme as described in the</w:t>
      </w:r>
      <w:r>
        <w:t xml:space="preserve"> Collections Management policy.</w:t>
      </w:r>
    </w:p>
    <w:p w:rsidR="00911E8A" w:rsidRDefault="00911E8A" w:rsidP="00911E8A">
      <w:pPr>
        <w:ind w:left="360"/>
      </w:pPr>
    </w:p>
    <w:p w:rsidR="00911E8A" w:rsidRPr="00CE75CB" w:rsidRDefault="00911E8A" w:rsidP="00911E8A">
      <w:pPr>
        <w:rPr>
          <w:color w:val="000000"/>
        </w:rPr>
      </w:pPr>
      <w:r>
        <w:t>3.7</w:t>
      </w:r>
      <w:r w:rsidRPr="00911E8A">
        <w:rPr>
          <w:color w:val="000000"/>
        </w:rPr>
        <w:t xml:space="preserve"> </w:t>
      </w:r>
      <w:r w:rsidR="00AF638B">
        <w:rPr>
          <w:color w:val="000000"/>
        </w:rPr>
        <w:tab/>
        <w:t>A</w:t>
      </w:r>
      <w:r w:rsidRPr="00CE75CB">
        <w:rPr>
          <w:color w:val="000000"/>
        </w:rPr>
        <w:t xml:space="preserve">n enquiry and advice service </w:t>
      </w:r>
      <w:r>
        <w:rPr>
          <w:color w:val="000000"/>
        </w:rPr>
        <w:t xml:space="preserve">for people who are unable to visit the ARK in </w:t>
      </w:r>
      <w:r w:rsidR="00AF638B">
        <w:rPr>
          <w:color w:val="000000"/>
        </w:rPr>
        <w:tab/>
      </w:r>
      <w:r>
        <w:rPr>
          <w:color w:val="000000"/>
        </w:rPr>
        <w:t>person</w:t>
      </w:r>
      <w:r w:rsidR="00AF638B">
        <w:rPr>
          <w:color w:val="000000"/>
        </w:rPr>
        <w:t xml:space="preserve"> will be made available</w:t>
      </w:r>
      <w:r>
        <w:rPr>
          <w:color w:val="000000"/>
        </w:rPr>
        <w:t xml:space="preserve">, </w:t>
      </w:r>
      <w:r w:rsidR="00AF638B">
        <w:rPr>
          <w:color w:val="000000"/>
        </w:rPr>
        <w:t>in line with the</w:t>
      </w:r>
      <w:r w:rsidRPr="00CE75CB">
        <w:rPr>
          <w:color w:val="000000"/>
        </w:rPr>
        <w:t xml:space="preserve"> Remote Enquiry and Research </w:t>
      </w:r>
      <w:r>
        <w:rPr>
          <w:color w:val="000000"/>
        </w:rPr>
        <w:tab/>
      </w:r>
      <w:r w:rsidRPr="00CE75CB">
        <w:rPr>
          <w:color w:val="000000"/>
        </w:rPr>
        <w:t>Service policies</w:t>
      </w:r>
      <w:r>
        <w:rPr>
          <w:color w:val="000000"/>
        </w:rPr>
        <w:t>.</w:t>
      </w:r>
    </w:p>
    <w:p w:rsidR="005C39C4" w:rsidRPr="005C39C4" w:rsidRDefault="005C39C4" w:rsidP="005C39C4">
      <w:pPr>
        <w:rPr>
          <w:color w:val="000000"/>
        </w:rPr>
      </w:pPr>
    </w:p>
    <w:p w:rsidR="003E1880" w:rsidRDefault="005063A2" w:rsidP="003E1880">
      <w:pPr>
        <w:rPr>
          <w:b/>
        </w:rPr>
      </w:pPr>
      <w:r>
        <w:rPr>
          <w:b/>
        </w:rPr>
        <w:t>4</w:t>
      </w:r>
      <w:r w:rsidR="00DB22D5">
        <w:rPr>
          <w:b/>
        </w:rPr>
        <w:t>.</w:t>
      </w:r>
      <w:r>
        <w:rPr>
          <w:b/>
        </w:rPr>
        <w:tab/>
      </w:r>
      <w:r w:rsidR="000C00C0">
        <w:rPr>
          <w:b/>
        </w:rPr>
        <w:t xml:space="preserve">Learning </w:t>
      </w:r>
      <w:r w:rsidR="00911E8A">
        <w:rPr>
          <w:b/>
        </w:rPr>
        <w:t xml:space="preserve">and Development </w:t>
      </w:r>
      <w:r w:rsidR="000C00C0">
        <w:rPr>
          <w:b/>
        </w:rPr>
        <w:t>Opportunities</w:t>
      </w:r>
    </w:p>
    <w:p w:rsidR="00CB33BD" w:rsidRDefault="00CB33BD" w:rsidP="00CB33BD">
      <w:r>
        <w:t>4.1</w:t>
      </w:r>
      <w:r>
        <w:tab/>
      </w:r>
      <w:r w:rsidR="00AF638B">
        <w:t>The ARK</w:t>
      </w:r>
      <w:r>
        <w:t xml:space="preserve"> will provide </w:t>
      </w:r>
      <w:r w:rsidRPr="00CE75CB">
        <w:t xml:space="preserve">opportunities for people to engage with heritage </w:t>
      </w:r>
      <w:r w:rsidR="00AF638B">
        <w:tab/>
      </w:r>
      <w:r w:rsidRPr="00CE75CB">
        <w:t>collections</w:t>
      </w:r>
      <w:r w:rsidR="00AF638B">
        <w:t xml:space="preserve"> </w:t>
      </w:r>
      <w:r w:rsidRPr="00CE75CB">
        <w:t>and services including family history, e.g</w:t>
      </w:r>
      <w:r w:rsidR="00911E8A">
        <w:t xml:space="preserve">. the Family History Help </w:t>
      </w:r>
      <w:r w:rsidR="00AF638B">
        <w:tab/>
      </w:r>
      <w:r w:rsidR="00911E8A">
        <w:t>Desk, ARK</w:t>
      </w:r>
      <w:r w:rsidR="00AF638B">
        <w:t xml:space="preserve"> </w:t>
      </w:r>
      <w:r>
        <w:t>e</w:t>
      </w:r>
      <w:r w:rsidR="005063A2">
        <w:t>vents and activities.</w:t>
      </w:r>
    </w:p>
    <w:p w:rsidR="005C39C4" w:rsidRDefault="005C39C4" w:rsidP="005C39C4">
      <w:pPr>
        <w:ind w:left="360"/>
      </w:pPr>
    </w:p>
    <w:p w:rsidR="005C39C4" w:rsidRDefault="005C39C4" w:rsidP="005C39C4">
      <w:r>
        <w:t>4.2</w:t>
      </w:r>
      <w:r>
        <w:tab/>
      </w:r>
      <w:r w:rsidR="00AF638B">
        <w:t xml:space="preserve">The ARK </w:t>
      </w:r>
      <w:r>
        <w:t xml:space="preserve">will work </w:t>
      </w:r>
      <w:r w:rsidRPr="00FE7093">
        <w:t xml:space="preserve">in partnership with other agencies and community groups </w:t>
      </w:r>
      <w:r w:rsidR="003A12EB">
        <w:tab/>
      </w:r>
      <w:r w:rsidRPr="00FE7093">
        <w:t xml:space="preserve">to deliver </w:t>
      </w:r>
      <w:r w:rsidR="00911E8A">
        <w:t>focu</w:t>
      </w:r>
      <w:r w:rsidR="00DB22D5">
        <w:t>sed</w:t>
      </w:r>
      <w:r w:rsidR="003A12EB">
        <w:t xml:space="preserve">, </w:t>
      </w:r>
      <w:r w:rsidRPr="00FE7093">
        <w:t xml:space="preserve">interpretative heritage sessions to schools and the wider </w:t>
      </w:r>
      <w:r>
        <w:tab/>
      </w:r>
      <w:r w:rsidR="005063A2">
        <w:t>community</w:t>
      </w:r>
      <w:r w:rsidR="00A04A67">
        <w:t xml:space="preserve">, either in the ARK, </w:t>
      </w:r>
      <w:r w:rsidR="00AF638B">
        <w:t>Knowsley</w:t>
      </w:r>
      <w:r w:rsidR="00A04A67">
        <w:t xml:space="preserve"> branch libraries or out in the </w:t>
      </w:r>
      <w:r w:rsidR="00AF638B">
        <w:tab/>
      </w:r>
      <w:r w:rsidR="00A04A67">
        <w:t>community</w:t>
      </w:r>
      <w:r w:rsidR="005063A2">
        <w:t>.</w:t>
      </w:r>
    </w:p>
    <w:p w:rsidR="00911E8A" w:rsidRDefault="00911E8A" w:rsidP="005C39C4"/>
    <w:p w:rsidR="00911E8A" w:rsidRPr="00FE7093" w:rsidRDefault="00911E8A" w:rsidP="005C39C4">
      <w:r>
        <w:t>4.3</w:t>
      </w:r>
      <w:r>
        <w:tab/>
      </w:r>
      <w:r w:rsidR="00AF638B">
        <w:t>P</w:t>
      </w:r>
      <w:r>
        <w:t xml:space="preserve">rovision for schools will be developed in consultation with Knowsley </w:t>
      </w:r>
      <w:r>
        <w:tab/>
        <w:t>Library Services’ School Library Service as part of</w:t>
      </w:r>
      <w:r w:rsidR="005063A2">
        <w:t xml:space="preserve"> the </w:t>
      </w:r>
      <w:r w:rsidR="00DB22D5">
        <w:t xml:space="preserve">Council’s Traded </w:t>
      </w:r>
      <w:r w:rsidR="00DB22D5">
        <w:tab/>
        <w:t xml:space="preserve">Services </w:t>
      </w:r>
      <w:r w:rsidR="005063A2">
        <w:t>Agreement.</w:t>
      </w:r>
      <w:r>
        <w:t xml:space="preserve"> </w:t>
      </w:r>
    </w:p>
    <w:p w:rsidR="00CB33BD" w:rsidRDefault="00CB33BD" w:rsidP="00CB33BD">
      <w:r>
        <w:lastRenderedPageBreak/>
        <w:t>4</w:t>
      </w:r>
      <w:r w:rsidR="00911E8A">
        <w:t>.4</w:t>
      </w:r>
      <w:r>
        <w:tab/>
      </w:r>
      <w:r w:rsidR="00AF638B">
        <w:t>The ARK Team</w:t>
      </w:r>
      <w:r>
        <w:t xml:space="preserve"> will raise </w:t>
      </w:r>
      <w:r w:rsidRPr="00CE75CB">
        <w:t>the profile of the ARK by participating in</w:t>
      </w:r>
      <w:r w:rsidR="005C39C4">
        <w:t xml:space="preserve"> regional </w:t>
      </w:r>
      <w:r w:rsidR="00AF638B">
        <w:tab/>
      </w:r>
      <w:r w:rsidRPr="00CE75CB">
        <w:t xml:space="preserve">and national </w:t>
      </w:r>
      <w:r w:rsidR="005C39C4">
        <w:tab/>
      </w:r>
      <w:r w:rsidRPr="00CE75CB">
        <w:t>networks</w:t>
      </w:r>
      <w:r w:rsidR="005C39C4">
        <w:t xml:space="preserve"> such as MALG (Merseyside Archives Liaison Group) </w:t>
      </w:r>
      <w:r w:rsidR="00AF638B">
        <w:tab/>
      </w:r>
      <w:r w:rsidR="005C39C4">
        <w:t>and projects</w:t>
      </w:r>
      <w:r w:rsidR="005063A2">
        <w:t>.</w:t>
      </w:r>
    </w:p>
    <w:p w:rsidR="003D7576" w:rsidRDefault="003D7576" w:rsidP="00CB33BD"/>
    <w:p w:rsidR="003D7576" w:rsidRDefault="003D7576" w:rsidP="00CB33BD">
      <w:r>
        <w:t>4.5</w:t>
      </w:r>
      <w:r>
        <w:tab/>
      </w:r>
      <w:r w:rsidR="00AF638B">
        <w:t xml:space="preserve">The ARK </w:t>
      </w:r>
      <w:r>
        <w:t>welcome</w:t>
      </w:r>
      <w:r w:rsidR="00AF638B">
        <w:t>s</w:t>
      </w:r>
      <w:r>
        <w:t xml:space="preserve"> visits from individuals, groups, adult learners, schools, </w:t>
      </w:r>
      <w:r w:rsidR="00AF638B">
        <w:tab/>
      </w:r>
      <w:r>
        <w:t xml:space="preserve">colleges and universities and </w:t>
      </w:r>
      <w:r w:rsidR="00AF638B">
        <w:t>staff</w:t>
      </w:r>
      <w:r>
        <w:t xml:space="preserve"> will </w:t>
      </w:r>
      <w:proofErr w:type="spellStart"/>
      <w:r>
        <w:t>ende</w:t>
      </w:r>
      <w:r w:rsidR="00AE4CEA">
        <w:t>a</w:t>
      </w:r>
      <w:r>
        <w:t>vo</w:t>
      </w:r>
      <w:r w:rsidR="00AE4CEA">
        <w:t>u</w:t>
      </w:r>
      <w:r>
        <w:t>r</w:t>
      </w:r>
      <w:proofErr w:type="spellEnd"/>
      <w:r>
        <w:t xml:space="preserve"> to support </w:t>
      </w:r>
      <w:r w:rsidR="00AE4CEA">
        <w:t xml:space="preserve">groups with </w:t>
      </w:r>
      <w:r w:rsidR="00AF638B">
        <w:tab/>
      </w:r>
      <w:r w:rsidR="00AE4CEA">
        <w:t xml:space="preserve">tailored session content and materials and appropriate staff input. </w:t>
      </w:r>
      <w:r>
        <w:t xml:space="preserve"> </w:t>
      </w:r>
    </w:p>
    <w:p w:rsidR="005063A2" w:rsidRDefault="005063A2" w:rsidP="00CB33BD"/>
    <w:p w:rsidR="005063A2" w:rsidRPr="005063A2" w:rsidRDefault="00AE4CEA" w:rsidP="00CB33BD">
      <w:pPr>
        <w:rPr>
          <w:b/>
        </w:rPr>
      </w:pPr>
      <w:r>
        <w:rPr>
          <w:b/>
        </w:rPr>
        <w:t>5</w:t>
      </w:r>
      <w:r w:rsidR="00AD562F">
        <w:rPr>
          <w:b/>
        </w:rPr>
        <w:t>.</w:t>
      </w:r>
      <w:r w:rsidR="005063A2" w:rsidRPr="005063A2">
        <w:rPr>
          <w:b/>
        </w:rPr>
        <w:tab/>
        <w:t>Staff and Training</w:t>
      </w:r>
    </w:p>
    <w:p w:rsidR="00CB33BD" w:rsidRDefault="007416C5" w:rsidP="003E1880">
      <w:pPr>
        <w:rPr>
          <w:color w:val="000000"/>
        </w:rPr>
      </w:pPr>
      <w:r>
        <w:t>5.1</w:t>
      </w:r>
      <w:r>
        <w:tab/>
      </w:r>
      <w:r>
        <w:rPr>
          <w:color w:val="000000"/>
        </w:rPr>
        <w:t xml:space="preserve">Appropriately qualified and experienced staff will be available to supervise </w:t>
      </w:r>
      <w:r>
        <w:rPr>
          <w:color w:val="000000"/>
        </w:rPr>
        <w:tab/>
        <w:t>and facilitate visits and deal with customer enquiries.</w:t>
      </w:r>
    </w:p>
    <w:p w:rsidR="003D7576" w:rsidRDefault="003D7576" w:rsidP="003E1880">
      <w:pPr>
        <w:rPr>
          <w:color w:val="000000"/>
        </w:rPr>
      </w:pPr>
    </w:p>
    <w:p w:rsidR="003D7576" w:rsidRDefault="007416C5" w:rsidP="003E1880">
      <w:pPr>
        <w:rPr>
          <w:color w:val="000000"/>
        </w:rPr>
      </w:pPr>
      <w:r>
        <w:rPr>
          <w:color w:val="000000"/>
        </w:rPr>
        <w:t>5.2</w:t>
      </w:r>
      <w:r>
        <w:rPr>
          <w:color w:val="000000"/>
        </w:rPr>
        <w:tab/>
        <w:t xml:space="preserve">Staff training and development needs will be identified and acted upon </w:t>
      </w:r>
      <w:r w:rsidR="003D7576">
        <w:rPr>
          <w:color w:val="000000"/>
        </w:rPr>
        <w:tab/>
        <w:t>thro</w:t>
      </w:r>
      <w:r>
        <w:rPr>
          <w:color w:val="000000"/>
        </w:rPr>
        <w:t>ugh</w:t>
      </w:r>
      <w:r w:rsidR="003D7576">
        <w:rPr>
          <w:color w:val="000000"/>
        </w:rPr>
        <w:t xml:space="preserve"> </w:t>
      </w:r>
      <w:r>
        <w:rPr>
          <w:color w:val="000000"/>
        </w:rPr>
        <w:t>th</w:t>
      </w:r>
      <w:r w:rsidR="003D7576">
        <w:rPr>
          <w:color w:val="000000"/>
        </w:rPr>
        <w:t>e</w:t>
      </w:r>
      <w:r>
        <w:rPr>
          <w:color w:val="000000"/>
        </w:rPr>
        <w:t xml:space="preserve"> Council’s Performance and Development Review process</w:t>
      </w:r>
      <w:r w:rsidR="003D7576">
        <w:rPr>
          <w:color w:val="000000"/>
        </w:rPr>
        <w:t>.</w:t>
      </w:r>
    </w:p>
    <w:p w:rsidR="003D7576" w:rsidRDefault="003D7576" w:rsidP="003E1880">
      <w:pPr>
        <w:rPr>
          <w:color w:val="000000"/>
        </w:rPr>
      </w:pPr>
    </w:p>
    <w:p w:rsidR="007416C5" w:rsidRDefault="003D7576" w:rsidP="003E1880">
      <w:pPr>
        <w:rPr>
          <w:color w:val="000000"/>
        </w:rPr>
      </w:pPr>
      <w:r>
        <w:rPr>
          <w:color w:val="000000"/>
        </w:rPr>
        <w:t>5.3</w:t>
      </w:r>
      <w:r>
        <w:rPr>
          <w:color w:val="000000"/>
        </w:rPr>
        <w:tab/>
        <w:t>Regular team meetings will be held to discuss service development.</w:t>
      </w:r>
    </w:p>
    <w:p w:rsidR="003D7576" w:rsidRDefault="003D7576" w:rsidP="003E1880">
      <w:pPr>
        <w:rPr>
          <w:color w:val="000000"/>
        </w:rPr>
      </w:pPr>
    </w:p>
    <w:p w:rsidR="003E1880" w:rsidRDefault="003D7576" w:rsidP="003E1880">
      <w:pPr>
        <w:rPr>
          <w:color w:val="000000"/>
        </w:rPr>
      </w:pPr>
      <w:r>
        <w:rPr>
          <w:color w:val="000000"/>
        </w:rPr>
        <w:t>5.4</w:t>
      </w:r>
      <w:r>
        <w:rPr>
          <w:color w:val="000000"/>
        </w:rPr>
        <w:tab/>
      </w:r>
      <w:r w:rsidR="002403FC">
        <w:rPr>
          <w:color w:val="000000"/>
        </w:rPr>
        <w:t>Th</w:t>
      </w:r>
      <w:r>
        <w:rPr>
          <w:color w:val="000000"/>
        </w:rPr>
        <w:t xml:space="preserve">e </w:t>
      </w:r>
      <w:r w:rsidR="002403FC">
        <w:rPr>
          <w:color w:val="000000"/>
        </w:rPr>
        <w:t xml:space="preserve">Service </w:t>
      </w:r>
      <w:r>
        <w:rPr>
          <w:color w:val="000000"/>
        </w:rPr>
        <w:t xml:space="preserve">will utilise the knowledge </w:t>
      </w:r>
      <w:r w:rsidR="007416C5">
        <w:rPr>
          <w:color w:val="000000"/>
        </w:rPr>
        <w:t xml:space="preserve">of </w:t>
      </w:r>
      <w:r>
        <w:rPr>
          <w:color w:val="000000"/>
        </w:rPr>
        <w:t>outside contractors</w:t>
      </w:r>
      <w:r w:rsidR="006824EB">
        <w:rPr>
          <w:color w:val="000000"/>
        </w:rPr>
        <w:t xml:space="preserve"> when necessary</w:t>
      </w:r>
      <w:r>
        <w:rPr>
          <w:color w:val="000000"/>
        </w:rPr>
        <w:t xml:space="preserve"> </w:t>
      </w:r>
      <w:r w:rsidR="002403FC">
        <w:rPr>
          <w:color w:val="000000"/>
        </w:rPr>
        <w:tab/>
      </w:r>
      <w:r>
        <w:rPr>
          <w:color w:val="000000"/>
        </w:rPr>
        <w:t>to assist</w:t>
      </w:r>
      <w:r w:rsidR="002403FC">
        <w:rPr>
          <w:color w:val="000000"/>
        </w:rPr>
        <w:t xml:space="preserve"> </w:t>
      </w:r>
      <w:r>
        <w:rPr>
          <w:color w:val="000000"/>
        </w:rPr>
        <w:t>in the delivery of</w:t>
      </w:r>
      <w:r w:rsidR="002403FC">
        <w:rPr>
          <w:color w:val="000000"/>
        </w:rPr>
        <w:t xml:space="preserve"> </w:t>
      </w:r>
      <w:r w:rsidR="00AE4CEA">
        <w:rPr>
          <w:color w:val="000000"/>
        </w:rPr>
        <w:t>services to a high standard. F</w:t>
      </w:r>
      <w:r w:rsidR="002403FC">
        <w:rPr>
          <w:color w:val="000000"/>
        </w:rPr>
        <w:t xml:space="preserve">or example, </w:t>
      </w:r>
      <w:r w:rsidR="002403FC">
        <w:rPr>
          <w:color w:val="000000"/>
        </w:rPr>
        <w:tab/>
      </w:r>
      <w:r w:rsidR="007416C5">
        <w:rPr>
          <w:color w:val="000000"/>
        </w:rPr>
        <w:t xml:space="preserve">conservation </w:t>
      </w:r>
      <w:r w:rsidR="00AE4CEA">
        <w:rPr>
          <w:color w:val="000000"/>
        </w:rPr>
        <w:tab/>
      </w:r>
      <w:r w:rsidR="007416C5">
        <w:rPr>
          <w:color w:val="000000"/>
        </w:rPr>
        <w:t>specialists</w:t>
      </w:r>
      <w:r w:rsidR="002403FC">
        <w:rPr>
          <w:color w:val="000000"/>
        </w:rPr>
        <w:t xml:space="preserve"> will be engaged</w:t>
      </w:r>
      <w:r w:rsidR="007416C5">
        <w:rPr>
          <w:color w:val="000000"/>
        </w:rPr>
        <w:t xml:space="preserve"> to assess the condition of the </w:t>
      </w:r>
      <w:r w:rsidR="002403FC">
        <w:rPr>
          <w:color w:val="000000"/>
        </w:rPr>
        <w:tab/>
      </w:r>
      <w:r w:rsidR="007416C5">
        <w:rPr>
          <w:color w:val="000000"/>
        </w:rPr>
        <w:t xml:space="preserve">collections and </w:t>
      </w:r>
      <w:r>
        <w:rPr>
          <w:color w:val="000000"/>
        </w:rPr>
        <w:t>to carry</w:t>
      </w:r>
      <w:r w:rsidR="002403FC">
        <w:rPr>
          <w:color w:val="000000"/>
        </w:rPr>
        <w:t xml:space="preserve"> </w:t>
      </w:r>
      <w:r>
        <w:rPr>
          <w:color w:val="000000"/>
        </w:rPr>
        <w:t>out remedial works.</w:t>
      </w:r>
    </w:p>
    <w:p w:rsidR="00C732F6" w:rsidRDefault="00C732F6" w:rsidP="003E1880">
      <w:pPr>
        <w:rPr>
          <w:color w:val="000000"/>
        </w:rPr>
      </w:pPr>
    </w:p>
    <w:p w:rsidR="00C732F6" w:rsidRDefault="00AE4CEA" w:rsidP="003E1880">
      <w:pPr>
        <w:rPr>
          <w:color w:val="000000"/>
        </w:rPr>
      </w:pPr>
      <w:r>
        <w:rPr>
          <w:color w:val="000000"/>
        </w:rPr>
        <w:t>5.5</w:t>
      </w:r>
      <w:r>
        <w:rPr>
          <w:color w:val="000000"/>
        </w:rPr>
        <w:tab/>
      </w:r>
      <w:r w:rsidR="002403FC">
        <w:rPr>
          <w:color w:val="000000"/>
        </w:rPr>
        <w:t>The ARK</w:t>
      </w:r>
      <w:r w:rsidR="00C732F6">
        <w:rPr>
          <w:color w:val="000000"/>
        </w:rPr>
        <w:t xml:space="preserve"> will support members of the community to develop capacity by </w:t>
      </w:r>
      <w:r w:rsidR="002403FC">
        <w:rPr>
          <w:color w:val="000000"/>
        </w:rPr>
        <w:tab/>
      </w:r>
      <w:r w:rsidR="00C732F6" w:rsidRPr="00CE75CB">
        <w:rPr>
          <w:color w:val="000000"/>
        </w:rPr>
        <w:t xml:space="preserve">offering </w:t>
      </w:r>
      <w:r w:rsidR="00C732F6">
        <w:rPr>
          <w:color w:val="000000"/>
        </w:rPr>
        <w:t xml:space="preserve">meaningful </w:t>
      </w:r>
      <w:r w:rsidR="00C732F6" w:rsidRPr="00CE75CB">
        <w:rPr>
          <w:color w:val="000000"/>
        </w:rPr>
        <w:t>opportunities for people to volunteer with t</w:t>
      </w:r>
      <w:r w:rsidR="00C732F6">
        <w:rPr>
          <w:color w:val="000000"/>
        </w:rPr>
        <w:t xml:space="preserve">he ARK in a </w:t>
      </w:r>
      <w:r w:rsidR="002403FC">
        <w:rPr>
          <w:color w:val="000000"/>
        </w:rPr>
        <w:tab/>
      </w:r>
      <w:r w:rsidR="00C732F6">
        <w:rPr>
          <w:color w:val="000000"/>
        </w:rPr>
        <w:t xml:space="preserve">variety of </w:t>
      </w:r>
      <w:r w:rsidR="002403FC">
        <w:rPr>
          <w:color w:val="000000"/>
        </w:rPr>
        <w:t>roles, either supporting</w:t>
      </w:r>
      <w:r w:rsidR="00C732F6">
        <w:rPr>
          <w:color w:val="000000"/>
        </w:rPr>
        <w:t xml:space="preserve"> community engagement work or providing </w:t>
      </w:r>
      <w:r w:rsidR="002403FC">
        <w:rPr>
          <w:color w:val="000000"/>
        </w:rPr>
        <w:tab/>
      </w:r>
      <w:r w:rsidR="00C732F6">
        <w:rPr>
          <w:color w:val="000000"/>
        </w:rPr>
        <w:t>opportunities within the organisation and cataloguing function of the ARK.</w:t>
      </w:r>
    </w:p>
    <w:p w:rsidR="00637445" w:rsidRDefault="00637445" w:rsidP="003E1880">
      <w:pPr>
        <w:rPr>
          <w:color w:val="000000"/>
        </w:rPr>
      </w:pPr>
    </w:p>
    <w:p w:rsidR="00637445" w:rsidRDefault="00637445" w:rsidP="003E1880">
      <w:pPr>
        <w:rPr>
          <w:color w:val="000000"/>
        </w:rPr>
      </w:pPr>
      <w:r>
        <w:rPr>
          <w:color w:val="000000"/>
        </w:rPr>
        <w:t>5.6</w:t>
      </w:r>
      <w:r>
        <w:rPr>
          <w:color w:val="000000"/>
        </w:rPr>
        <w:tab/>
        <w:t>ARK staff will be bound by the Council’s Managing Conduct, Performance and</w:t>
      </w:r>
      <w:r>
        <w:rPr>
          <w:color w:val="000000"/>
        </w:rPr>
        <w:tab/>
        <w:t xml:space="preserve"> Information Policy and the Officer Code of Conduct to ensure that all </w:t>
      </w:r>
      <w:r>
        <w:rPr>
          <w:color w:val="000000"/>
        </w:rPr>
        <w:tab/>
        <w:t xml:space="preserve">customers are dealt with appropriately, equally and respectfully. </w:t>
      </w:r>
    </w:p>
    <w:p w:rsidR="00C732F6" w:rsidRDefault="00C732F6" w:rsidP="003E1880">
      <w:pPr>
        <w:rPr>
          <w:color w:val="000000"/>
        </w:rPr>
      </w:pPr>
    </w:p>
    <w:p w:rsidR="00C732F6" w:rsidRDefault="00C732F6" w:rsidP="00C732F6">
      <w:pPr>
        <w:rPr>
          <w:b/>
          <w:color w:val="000000"/>
        </w:rPr>
      </w:pPr>
      <w:r>
        <w:rPr>
          <w:b/>
          <w:color w:val="000000"/>
        </w:rPr>
        <w:t>6.</w:t>
      </w:r>
      <w:r>
        <w:rPr>
          <w:b/>
          <w:color w:val="000000"/>
        </w:rPr>
        <w:tab/>
      </w:r>
      <w:r w:rsidRPr="00542AE4">
        <w:rPr>
          <w:b/>
          <w:color w:val="000000"/>
        </w:rPr>
        <w:t>Policy Review</w:t>
      </w:r>
    </w:p>
    <w:p w:rsidR="00C732F6" w:rsidRPr="00A667C1" w:rsidRDefault="00C732F6" w:rsidP="00C732F6">
      <w:pPr>
        <w:rPr>
          <w:rFonts w:ascii="Helvetica" w:hAnsi="Helvetica" w:cs="Helvetica"/>
          <w:color w:val="984806"/>
          <w:szCs w:val="24"/>
          <w:lang w:val="en-GB"/>
        </w:rPr>
      </w:pPr>
      <w:r>
        <w:rPr>
          <w:color w:val="000000"/>
        </w:rPr>
        <w:t>6.1</w:t>
      </w:r>
      <w:r>
        <w:rPr>
          <w:color w:val="000000"/>
        </w:rPr>
        <w:tab/>
        <w:t xml:space="preserve">This policy will be reviewed every 2 years to make sure that it remains </w:t>
      </w:r>
      <w:r>
        <w:rPr>
          <w:color w:val="000000"/>
        </w:rPr>
        <w:tab/>
        <w:t xml:space="preserve">relevant and supports the Archive Service. </w:t>
      </w:r>
    </w:p>
    <w:p w:rsidR="00C732F6" w:rsidRDefault="00C732F6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197957" w:rsidRDefault="00197957" w:rsidP="003E1880">
      <w:pPr>
        <w:rPr>
          <w:color w:val="000000"/>
        </w:rPr>
      </w:pPr>
    </w:p>
    <w:p w:rsidR="00336925" w:rsidRDefault="00336925" w:rsidP="003E1880">
      <w:pPr>
        <w:rPr>
          <w:color w:val="000000"/>
        </w:rPr>
      </w:pPr>
    </w:p>
    <w:p w:rsidR="00336925" w:rsidRDefault="00197957" w:rsidP="003E1880">
      <w:pPr>
        <w:rPr>
          <w:color w:val="000000"/>
        </w:rPr>
      </w:pPr>
      <w:r w:rsidRPr="00336925">
        <w:rPr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pt;width:421.45pt;height:54.9pt;z-index:251661312;mso-position-horizontal:center;mso-width-relative:margin;mso-height-relative:margin">
            <v:textbox>
              <w:txbxContent>
                <w:p w:rsidR="00197957" w:rsidRDefault="00197957" w:rsidP="00197957">
                  <w:proofErr w:type="gramStart"/>
                  <w:r>
                    <w:t>This policy was approved on 09.10.17 by the Cabinet Member for Public Health, Wellbeing and Customer Services and the Assistant Executive Director (Public Health and Wellbeing) and thereby are</w:t>
                  </w:r>
                  <w:proofErr w:type="gramEnd"/>
                  <w:r>
                    <w:t xml:space="preserve"> adopted by KMBC.</w:t>
                  </w:r>
                </w:p>
                <w:p w:rsidR="00336925" w:rsidRDefault="00336925"/>
              </w:txbxContent>
            </v:textbox>
          </v:shape>
        </w:pict>
      </w:r>
    </w:p>
    <w:p w:rsidR="00336925" w:rsidRDefault="00336925" w:rsidP="003E1880">
      <w:pPr>
        <w:rPr>
          <w:color w:val="000000"/>
        </w:rPr>
      </w:pPr>
    </w:p>
    <w:p w:rsidR="00336925" w:rsidRDefault="00336925" w:rsidP="003E1880">
      <w:pPr>
        <w:rPr>
          <w:color w:val="000000"/>
        </w:rPr>
      </w:pPr>
    </w:p>
    <w:p w:rsidR="00336925" w:rsidRDefault="00336925" w:rsidP="003E1880">
      <w:pPr>
        <w:rPr>
          <w:color w:val="000000"/>
        </w:rPr>
      </w:pPr>
    </w:p>
    <w:sectPr w:rsidR="00336925" w:rsidSect="00B063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1E1" w:rsidRDefault="004B61E1" w:rsidP="000325D8">
      <w:r>
        <w:separator/>
      </w:r>
    </w:p>
  </w:endnote>
  <w:endnote w:type="continuationSeparator" w:id="0">
    <w:p w:rsidR="004B61E1" w:rsidRDefault="004B61E1" w:rsidP="0003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D8" w:rsidRDefault="00190A4A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-132715</wp:posOffset>
          </wp:positionV>
          <wp:extent cx="914400" cy="542925"/>
          <wp:effectExtent l="19050" t="0" r="0" b="0"/>
          <wp:wrapTight wrapText="bothSides">
            <wp:wrapPolygon edited="0">
              <wp:start x="-450" y="0"/>
              <wp:lineTo x="-450" y="21221"/>
              <wp:lineTo x="21600" y="21221"/>
              <wp:lineTo x="21600" y="0"/>
              <wp:lineTo x="-450" y="0"/>
            </wp:wrapPolygon>
          </wp:wrapTight>
          <wp:docPr id="1" name="Picture 0" descr="KMBC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BC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5D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1E1" w:rsidRDefault="004B61E1" w:rsidP="000325D8">
      <w:r>
        <w:separator/>
      </w:r>
    </w:p>
  </w:footnote>
  <w:footnote w:type="continuationSeparator" w:id="0">
    <w:p w:rsidR="004B61E1" w:rsidRDefault="004B61E1" w:rsidP="00032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D4D37"/>
    <w:multiLevelType w:val="singleLevel"/>
    <w:tmpl w:val="F236B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A22660"/>
    <w:multiLevelType w:val="singleLevel"/>
    <w:tmpl w:val="F236B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706988"/>
    <w:multiLevelType w:val="singleLevel"/>
    <w:tmpl w:val="F236B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8573BB0"/>
    <w:multiLevelType w:val="singleLevel"/>
    <w:tmpl w:val="F236B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170BF"/>
    <w:rsid w:val="0002567D"/>
    <w:rsid w:val="000325D8"/>
    <w:rsid w:val="000873F4"/>
    <w:rsid w:val="00093ABD"/>
    <w:rsid w:val="00097A1D"/>
    <w:rsid w:val="000C00C0"/>
    <w:rsid w:val="00163035"/>
    <w:rsid w:val="00184E58"/>
    <w:rsid w:val="00190A4A"/>
    <w:rsid w:val="00197957"/>
    <w:rsid w:val="001B0986"/>
    <w:rsid w:val="001B1D94"/>
    <w:rsid w:val="001E3CD7"/>
    <w:rsid w:val="001E6E77"/>
    <w:rsid w:val="001F045D"/>
    <w:rsid w:val="002133AC"/>
    <w:rsid w:val="00222BC5"/>
    <w:rsid w:val="002403FC"/>
    <w:rsid w:val="00242C2F"/>
    <w:rsid w:val="002464D5"/>
    <w:rsid w:val="00265728"/>
    <w:rsid w:val="0027282F"/>
    <w:rsid w:val="0028224A"/>
    <w:rsid w:val="00297617"/>
    <w:rsid w:val="002B6C6B"/>
    <w:rsid w:val="00301035"/>
    <w:rsid w:val="00307CE0"/>
    <w:rsid w:val="00317FA1"/>
    <w:rsid w:val="00325819"/>
    <w:rsid w:val="00336925"/>
    <w:rsid w:val="00360CDB"/>
    <w:rsid w:val="003969A1"/>
    <w:rsid w:val="003A12EB"/>
    <w:rsid w:val="003D5ACD"/>
    <w:rsid w:val="003D7576"/>
    <w:rsid w:val="003E1880"/>
    <w:rsid w:val="0040736F"/>
    <w:rsid w:val="00411AAC"/>
    <w:rsid w:val="004142CC"/>
    <w:rsid w:val="00465E0A"/>
    <w:rsid w:val="004942BB"/>
    <w:rsid w:val="004A07C5"/>
    <w:rsid w:val="004A2513"/>
    <w:rsid w:val="004A481F"/>
    <w:rsid w:val="004B61E1"/>
    <w:rsid w:val="004E411B"/>
    <w:rsid w:val="004F1034"/>
    <w:rsid w:val="004F5DF1"/>
    <w:rsid w:val="005063A2"/>
    <w:rsid w:val="005623B7"/>
    <w:rsid w:val="005A2E30"/>
    <w:rsid w:val="005C24F6"/>
    <w:rsid w:val="005C39C4"/>
    <w:rsid w:val="005E67AF"/>
    <w:rsid w:val="005E7E90"/>
    <w:rsid w:val="005F372B"/>
    <w:rsid w:val="005F3E10"/>
    <w:rsid w:val="00637445"/>
    <w:rsid w:val="0064740F"/>
    <w:rsid w:val="006824EB"/>
    <w:rsid w:val="00683D19"/>
    <w:rsid w:val="00684C00"/>
    <w:rsid w:val="006C51AB"/>
    <w:rsid w:val="006F1E0A"/>
    <w:rsid w:val="00733F11"/>
    <w:rsid w:val="007416C5"/>
    <w:rsid w:val="00761213"/>
    <w:rsid w:val="00777AF9"/>
    <w:rsid w:val="007A3146"/>
    <w:rsid w:val="007B681E"/>
    <w:rsid w:val="007E686E"/>
    <w:rsid w:val="00800A64"/>
    <w:rsid w:val="00883A8F"/>
    <w:rsid w:val="00891E31"/>
    <w:rsid w:val="008B3072"/>
    <w:rsid w:val="008B4B2A"/>
    <w:rsid w:val="008E31ED"/>
    <w:rsid w:val="00911E8A"/>
    <w:rsid w:val="0091266D"/>
    <w:rsid w:val="00915C5B"/>
    <w:rsid w:val="00936114"/>
    <w:rsid w:val="009425A7"/>
    <w:rsid w:val="00957F41"/>
    <w:rsid w:val="00974D47"/>
    <w:rsid w:val="0098041A"/>
    <w:rsid w:val="00986868"/>
    <w:rsid w:val="009B0253"/>
    <w:rsid w:val="009B59BA"/>
    <w:rsid w:val="009C4867"/>
    <w:rsid w:val="009C60D4"/>
    <w:rsid w:val="009C67DF"/>
    <w:rsid w:val="009F2E44"/>
    <w:rsid w:val="009F4060"/>
    <w:rsid w:val="009F4B71"/>
    <w:rsid w:val="00A041E2"/>
    <w:rsid w:val="00A04A67"/>
    <w:rsid w:val="00A27B5D"/>
    <w:rsid w:val="00A31A7C"/>
    <w:rsid w:val="00A90C80"/>
    <w:rsid w:val="00A96DE4"/>
    <w:rsid w:val="00AD3178"/>
    <w:rsid w:val="00AD562F"/>
    <w:rsid w:val="00AE4CEA"/>
    <w:rsid w:val="00AF638B"/>
    <w:rsid w:val="00B0634F"/>
    <w:rsid w:val="00B069F7"/>
    <w:rsid w:val="00B161FE"/>
    <w:rsid w:val="00B850CC"/>
    <w:rsid w:val="00BD0222"/>
    <w:rsid w:val="00BE697D"/>
    <w:rsid w:val="00BF058B"/>
    <w:rsid w:val="00C170BF"/>
    <w:rsid w:val="00C4574D"/>
    <w:rsid w:val="00C732F6"/>
    <w:rsid w:val="00C76CAA"/>
    <w:rsid w:val="00CA3AD9"/>
    <w:rsid w:val="00CB13A1"/>
    <w:rsid w:val="00CB1D10"/>
    <w:rsid w:val="00CB33BD"/>
    <w:rsid w:val="00CE375F"/>
    <w:rsid w:val="00CF2C1C"/>
    <w:rsid w:val="00D0000E"/>
    <w:rsid w:val="00D43C20"/>
    <w:rsid w:val="00D50CCB"/>
    <w:rsid w:val="00D90A73"/>
    <w:rsid w:val="00DB22D5"/>
    <w:rsid w:val="00DC2671"/>
    <w:rsid w:val="00DC7F82"/>
    <w:rsid w:val="00DE3633"/>
    <w:rsid w:val="00E2529D"/>
    <w:rsid w:val="00E360B3"/>
    <w:rsid w:val="00E44B0F"/>
    <w:rsid w:val="00EC52CC"/>
    <w:rsid w:val="00EF5D32"/>
    <w:rsid w:val="00F0279F"/>
    <w:rsid w:val="00F303E9"/>
    <w:rsid w:val="00F936A6"/>
    <w:rsid w:val="00FE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B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3969A1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5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5D8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325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5D8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ListParagraph">
    <w:name w:val="List Paragraph"/>
    <w:basedOn w:val="Normal"/>
    <w:uiPriority w:val="34"/>
    <w:qFormat/>
    <w:rsid w:val="003E18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69A1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4A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</dc:creator>
  <cp:lastModifiedBy>cravens</cp:lastModifiedBy>
  <cp:revision>12</cp:revision>
  <dcterms:created xsi:type="dcterms:W3CDTF">2017-06-02T14:44:00Z</dcterms:created>
  <dcterms:modified xsi:type="dcterms:W3CDTF">2017-10-09T15:03:00Z</dcterms:modified>
</cp:coreProperties>
</file>